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D3" w:rsidRPr="008C4CD3" w:rsidRDefault="008C4CD3" w:rsidP="008C4CD3">
      <w:pPr>
        <w:numPr>
          <w:ilvl w:val="0"/>
          <w:numId w:val="1"/>
        </w:numPr>
        <w:tabs>
          <w:tab w:val="num" w:pos="284"/>
        </w:tabs>
        <w:ind w:left="284" w:hanging="284"/>
        <w:rPr>
          <w:b/>
          <w:sz w:val="28"/>
          <w:szCs w:val="28"/>
          <w:lang w:val="de-DE"/>
        </w:rPr>
      </w:pPr>
      <w:r w:rsidRPr="008C4CD3">
        <w:rPr>
          <w:b/>
          <w:sz w:val="28"/>
          <w:szCs w:val="28"/>
          <w:lang w:val="de-DE"/>
        </w:rPr>
        <w:t>Lesen Sie und übersetzen Sie auf  Russisch  die Beschreibungen der drei berühmten Bilder aus der Tretjakow-Galerie. Raten Sie, von welchen Bildern hier die Rede ist. Wie heißen sie auf Russisch?</w:t>
      </w:r>
      <w:r w:rsidRPr="00F77AA9">
        <w:rPr>
          <w:b/>
          <w:sz w:val="28"/>
          <w:szCs w:val="28"/>
          <w:lang w:val="de-DE"/>
        </w:rPr>
        <w:t xml:space="preserve"> </w:t>
      </w:r>
    </w:p>
    <w:p w:rsidR="008C4CD3" w:rsidRPr="00F77AA9" w:rsidRDefault="008C4CD3" w:rsidP="008C4CD3">
      <w:pPr>
        <w:jc w:val="both"/>
        <w:rPr>
          <w:b/>
          <w:sz w:val="28"/>
          <w:szCs w:val="28"/>
          <w:lang w:val="de-DE"/>
        </w:rPr>
      </w:pPr>
    </w:p>
    <w:p w:rsidR="008C4CD3" w:rsidRPr="008C4CD3" w:rsidRDefault="008C4CD3" w:rsidP="008C4CD3">
      <w:pPr>
        <w:pStyle w:val="a3"/>
        <w:numPr>
          <w:ilvl w:val="0"/>
          <w:numId w:val="2"/>
        </w:numPr>
        <w:ind w:left="0" w:firstLine="0"/>
        <w:jc w:val="both"/>
        <w:rPr>
          <w:b/>
          <w:bCs/>
          <w:color w:val="993300"/>
          <w:sz w:val="64"/>
          <w:szCs w:val="64"/>
          <w:lang w:val="de-DE"/>
          <w14:shadow w14:blurRad="50800" w14:dist="38100" w14:dir="2700000" w14:sx="100000" w14:sy="100000" w14:kx="0" w14:ky="0" w14:algn="tl">
            <w14:srgbClr w14:val="000000">
              <w14:alpha w14:val="60000"/>
            </w14:srgbClr>
          </w14:shadow>
        </w:rPr>
      </w:pPr>
      <w:r w:rsidRPr="008C4CD3">
        <w:rPr>
          <w:sz w:val="28"/>
          <w:szCs w:val="28"/>
          <w:lang w:val="de-DE"/>
        </w:rPr>
        <w:t xml:space="preserve">Es ist  in der russischen Malerei kaum ein zweites Werk zu finden, das so viel Reiz und Zauber ausstrahlt, wie dieses Bild. Die Schönheit des dunkelhäutigen jungen Mädchens mit ihren </w:t>
      </w:r>
      <w:proofErr w:type="spellStart"/>
      <w:r w:rsidRPr="008C4CD3">
        <w:rPr>
          <w:sz w:val="28"/>
          <w:szCs w:val="28"/>
          <w:lang w:val="de-DE"/>
        </w:rPr>
        <w:t>lebhaftenbraunen</w:t>
      </w:r>
      <w:proofErr w:type="spellEnd"/>
      <w:r w:rsidRPr="008C4CD3">
        <w:rPr>
          <w:sz w:val="28"/>
          <w:szCs w:val="28"/>
          <w:lang w:val="de-DE"/>
        </w:rPr>
        <w:t xml:space="preserve"> Augen ist eins mit der Schönheit all dessen, was sie umgibt: das helle Grün des alten Gartens, das weiße Tischtuch, der matte Glanz des Silbermessers, die weiche Wärme der flaumigen Pfirsiche. Die Komposition, die spontan und unbeabsichtigt scheint, die hellen, reinen Farbtöne - alles trägt dazu bei, das Bild einer unbeschwerten Jugend zu schaffen, voller Lebensfreude und Harmonie.</w:t>
      </w:r>
      <w:r w:rsidRPr="008C4CD3">
        <w:rPr>
          <w:b/>
          <w:bCs/>
          <w:color w:val="993300"/>
          <w:sz w:val="64"/>
          <w:szCs w:val="64"/>
          <w:lang w:val="de-DE"/>
          <w14:shadow w14:blurRad="50800" w14:dist="38100" w14:dir="2700000" w14:sx="100000" w14:sy="100000" w14:kx="0" w14:ky="0" w14:algn="tl">
            <w14:srgbClr w14:val="000000">
              <w14:alpha w14:val="60000"/>
            </w14:srgbClr>
          </w14:shadow>
        </w:rPr>
        <w:t xml:space="preserve"> </w:t>
      </w:r>
    </w:p>
    <w:p w:rsidR="008C4CD3" w:rsidRPr="008C4CD3" w:rsidRDefault="008C4CD3" w:rsidP="008C4CD3">
      <w:pPr>
        <w:jc w:val="both"/>
        <w:rPr>
          <w:b/>
          <w:sz w:val="28"/>
          <w:szCs w:val="28"/>
          <w:lang w:val="de-DE"/>
        </w:rPr>
      </w:pPr>
    </w:p>
    <w:p w:rsidR="008C4CD3" w:rsidRDefault="008C4CD3" w:rsidP="008C4CD3">
      <w:pPr>
        <w:jc w:val="both"/>
        <w:rPr>
          <w:sz w:val="28"/>
          <w:szCs w:val="28"/>
          <w:lang w:val="de-DE"/>
        </w:rPr>
      </w:pPr>
      <w:r w:rsidRPr="00791E5F">
        <w:rPr>
          <w:b/>
          <w:sz w:val="28"/>
          <w:szCs w:val="28"/>
          <w:lang w:val="de-DE"/>
        </w:rPr>
        <w:t>B.</w:t>
      </w:r>
      <w:r>
        <w:rPr>
          <w:sz w:val="28"/>
          <w:szCs w:val="28"/>
          <w:lang w:val="de-DE"/>
        </w:rPr>
        <w:t xml:space="preserve">  Die auf dem Gemälde darstellten Höfe und Zäune am Rande eines Dorfes haben nichts Auffälliges an sich. Das scharfe Auge des Malers und sein liebevolles Herz haben aber mehr darin erblickt: nämlich, dass auch dieser Dorfwinkel sich am Frühling, am Wiedererwachen der Natur erfreut.</w:t>
      </w:r>
    </w:p>
    <w:p w:rsidR="008C4CD3" w:rsidRDefault="008C4CD3" w:rsidP="008C4CD3">
      <w:pPr>
        <w:jc w:val="both"/>
        <w:rPr>
          <w:sz w:val="28"/>
          <w:szCs w:val="28"/>
          <w:lang w:val="de-DE"/>
        </w:rPr>
      </w:pPr>
      <w:r>
        <w:rPr>
          <w:sz w:val="28"/>
          <w:szCs w:val="28"/>
          <w:lang w:val="de-DE"/>
        </w:rPr>
        <w:t>Das Gemälde ist durch horizontal verlaufende Linien aufgeteilt. Diese Horizontalen beherrschen die Komposition. Im Vordergrund sieht man bläulich weißen Schnee un</w:t>
      </w:r>
      <w:r w:rsidRPr="00935303">
        <w:rPr>
          <w:sz w:val="28"/>
          <w:szCs w:val="28"/>
          <w:lang w:val="de-DE"/>
        </w:rPr>
        <w:t>d</w:t>
      </w:r>
      <w:r>
        <w:rPr>
          <w:sz w:val="28"/>
          <w:szCs w:val="28"/>
          <w:lang w:val="de-DE"/>
        </w:rPr>
        <w:t xml:space="preserve"> Birken mit Krähen, dann graubraune Häuser des Dorfes, dahinter kommt blassblauer Himmel mit grauweißen Wolken. Der Betrachter empfindet die natürliche räumliche Tiefe der Landschaft. Die Kompositionsteile sind durch Wiederholungen der Farbtöne meisterhaft zu einem Ganzen verbunden.</w:t>
      </w:r>
    </w:p>
    <w:p w:rsidR="008C4CD3" w:rsidRPr="00F77AA9" w:rsidRDefault="008C4CD3" w:rsidP="008C4CD3">
      <w:pPr>
        <w:jc w:val="both"/>
        <w:rPr>
          <w:b/>
          <w:bCs/>
          <w:color w:val="993300"/>
          <w:sz w:val="64"/>
          <w:szCs w:val="64"/>
          <w:lang w:val="de-DE"/>
          <w14:shadow w14:blurRad="50800" w14:dist="38100" w14:dir="2700000" w14:sx="100000" w14:sy="100000" w14:kx="0" w14:ky="0" w14:algn="tl">
            <w14:srgbClr w14:val="000000">
              <w14:alpha w14:val="60000"/>
            </w14:srgbClr>
          </w14:shadow>
        </w:rPr>
      </w:pPr>
      <w:r>
        <w:rPr>
          <w:sz w:val="28"/>
          <w:szCs w:val="28"/>
          <w:lang w:val="de-DE"/>
        </w:rPr>
        <w:t>Der Mensch bewundert die Natur nicht mehr von außen, sondern fühlt sich in sie hinein, lebt ihr Leben mit.</w:t>
      </w:r>
      <w:r w:rsidRPr="008C4CD3">
        <w:rPr>
          <w:b/>
          <w:bCs/>
          <w:color w:val="993300"/>
          <w:sz w:val="64"/>
          <w:szCs w:val="64"/>
          <w:lang w:val="de-DE"/>
          <w14:shadow w14:blurRad="50800" w14:dist="38100" w14:dir="2700000" w14:sx="100000" w14:sy="100000" w14:kx="0" w14:ky="0" w14:algn="tl">
            <w14:srgbClr w14:val="000000">
              <w14:alpha w14:val="60000"/>
            </w14:srgbClr>
          </w14:shadow>
        </w:rPr>
        <w:t xml:space="preserve"> </w:t>
      </w:r>
    </w:p>
    <w:p w:rsidR="008C4CD3" w:rsidRPr="00F77AA9" w:rsidRDefault="008C4CD3" w:rsidP="008C4CD3">
      <w:pPr>
        <w:jc w:val="both"/>
        <w:rPr>
          <w:b/>
          <w:bCs/>
          <w:color w:val="993300"/>
          <w:lang w:val="de-DE"/>
          <w14:shadow w14:blurRad="50800" w14:dist="38100" w14:dir="2700000" w14:sx="100000" w14:sy="100000" w14:kx="0" w14:ky="0" w14:algn="tl">
            <w14:srgbClr w14:val="000000">
              <w14:alpha w14:val="60000"/>
            </w14:srgbClr>
          </w14:shadow>
        </w:rPr>
      </w:pPr>
    </w:p>
    <w:p w:rsidR="008C4CD3" w:rsidRDefault="008C4CD3" w:rsidP="008C4CD3">
      <w:pPr>
        <w:jc w:val="both"/>
        <w:rPr>
          <w:sz w:val="28"/>
          <w:szCs w:val="28"/>
          <w:lang w:val="de-DE"/>
        </w:rPr>
      </w:pPr>
      <w:r w:rsidRPr="00791E5F">
        <w:rPr>
          <w:b/>
          <w:sz w:val="28"/>
          <w:szCs w:val="28"/>
          <w:lang w:val="de-DE"/>
        </w:rPr>
        <w:t>C.</w:t>
      </w:r>
      <w:r>
        <w:rPr>
          <w:sz w:val="28"/>
          <w:szCs w:val="28"/>
          <w:lang w:val="de-DE"/>
        </w:rPr>
        <w:t xml:space="preserve"> Dieses Gemälde hatte eine außerordentliche Bedeutung für die ganze spätere Entwicklung unserer nationalen Kunst. Mehr als zwanzig Jahre seines Lebens hat der Maler der Arbeit an diesem großartigen Gemälde gewidmet.</w:t>
      </w:r>
    </w:p>
    <w:p w:rsidR="008C4CD3" w:rsidRPr="00F35BC3" w:rsidRDefault="008C4CD3" w:rsidP="008C4CD3">
      <w:pPr>
        <w:jc w:val="both"/>
        <w:rPr>
          <w:bCs/>
          <w:i/>
          <w:sz w:val="28"/>
          <w:szCs w:val="28"/>
          <w:u w:val="single"/>
          <w:lang w:val="de-DE"/>
        </w:rPr>
      </w:pPr>
      <w:r>
        <w:rPr>
          <w:sz w:val="28"/>
          <w:szCs w:val="28"/>
          <w:lang w:val="de-DE"/>
        </w:rPr>
        <w:t>Das Sujet ist einer Legende des Neuen Testaments entnommen. Als Johannes der Täufer in Jordan das Volk taufte, sah er Christus und nannte ihn den Erlöser. Johannes der Täufer ist die bedeutendste Figur der Komposition. Er ist als leidenschaftlicher Prophet gestaltet. Die Menschen, die ihm zuhören, sind von verschiedenem Alter und Stand, sie unterscheiden sich auch durch Gesinnung und Temperament. Die russische Malerei hat eine derartige Vielfalt der Typen und eine so tiefe psychologische Charakterisierung zuvor noch nicht gekannt. Die Christi-Erscheinung gibt den Menschen die Hoffnung auf geistige Wiedergeburt.</w:t>
      </w:r>
      <w:r w:rsidRPr="008C4CD3">
        <w:rPr>
          <w:b/>
          <w:bCs/>
          <w:color w:val="993300"/>
          <w:sz w:val="64"/>
          <w:szCs w:val="64"/>
          <w:lang w:val="de-DE"/>
          <w14:shadow w14:blurRad="50800" w14:dist="38100" w14:dir="2700000" w14:sx="100000" w14:sy="100000" w14:kx="0" w14:ky="0" w14:algn="tl">
            <w14:srgbClr w14:val="000000">
              <w14:alpha w14:val="60000"/>
            </w14:srgbClr>
          </w14:shadow>
        </w:rPr>
        <w:t xml:space="preserve"> </w:t>
      </w:r>
    </w:p>
    <w:p w:rsidR="00F77AA9" w:rsidRPr="00F77AA9" w:rsidRDefault="00F77AA9">
      <w:pPr>
        <w:rPr>
          <w:lang w:val="de-DE"/>
        </w:rPr>
      </w:pPr>
    </w:p>
    <w:p w:rsidR="00F77AA9" w:rsidRPr="00F77AA9" w:rsidRDefault="00F77AA9" w:rsidP="00F77AA9">
      <w:pPr>
        <w:rPr>
          <w:lang w:val="de-DE"/>
        </w:rPr>
      </w:pPr>
    </w:p>
    <w:p w:rsidR="00F77AA9" w:rsidRPr="00F77AA9" w:rsidRDefault="00F77AA9" w:rsidP="00F77AA9">
      <w:pPr>
        <w:rPr>
          <w:lang w:val="de-DE"/>
        </w:rPr>
      </w:pPr>
    </w:p>
    <w:p w:rsidR="00F77AA9" w:rsidRPr="00F77AA9" w:rsidRDefault="00F77AA9" w:rsidP="00F77AA9">
      <w:r>
        <w:rPr>
          <w:lang w:val="de-DE"/>
        </w:rPr>
        <w:t>Füllen Sie die Tabelle</w:t>
      </w:r>
      <w:r>
        <w:t>:</w:t>
      </w:r>
      <w:bookmarkStart w:id="0" w:name="_GoBack"/>
      <w:bookmarkEnd w:id="0"/>
    </w:p>
    <w:p w:rsidR="00F77AA9" w:rsidRPr="00F77AA9" w:rsidRDefault="00F77AA9" w:rsidP="00F77AA9">
      <w:pPr>
        <w:rPr>
          <w:lang w:val="de-DE"/>
        </w:rPr>
      </w:pPr>
    </w:p>
    <w:tbl>
      <w:tblPr>
        <w:tblStyle w:val="a4"/>
        <w:tblW w:w="0" w:type="auto"/>
        <w:tblLook w:val="04A0" w:firstRow="1" w:lastRow="0" w:firstColumn="1" w:lastColumn="0" w:noHBand="0" w:noVBand="1"/>
      </w:tblPr>
      <w:tblGrid>
        <w:gridCol w:w="3190"/>
        <w:gridCol w:w="3190"/>
        <w:gridCol w:w="3191"/>
      </w:tblGrid>
      <w:tr w:rsidR="00F77AA9" w:rsidTr="00F77AA9">
        <w:tc>
          <w:tcPr>
            <w:tcW w:w="3190" w:type="dxa"/>
          </w:tcPr>
          <w:p w:rsidR="00F77AA9" w:rsidRPr="00F77AA9" w:rsidRDefault="00F77AA9" w:rsidP="00F77AA9">
            <w:pPr>
              <w:rPr>
                <w:lang w:val="de-DE"/>
              </w:rPr>
            </w:pPr>
            <w:r>
              <w:rPr>
                <w:lang w:val="de-DE"/>
              </w:rPr>
              <w:t>Autor des Bildes</w:t>
            </w:r>
          </w:p>
        </w:tc>
        <w:tc>
          <w:tcPr>
            <w:tcW w:w="3190" w:type="dxa"/>
          </w:tcPr>
          <w:p w:rsidR="00F77AA9" w:rsidRPr="00F77AA9" w:rsidRDefault="00F77AA9" w:rsidP="00F77AA9">
            <w:pPr>
              <w:rPr>
                <w:lang w:val="de-DE"/>
              </w:rPr>
            </w:pPr>
            <w:r>
              <w:rPr>
                <w:lang w:val="de-DE"/>
              </w:rPr>
              <w:t>Der Name des Bildes</w:t>
            </w:r>
          </w:p>
        </w:tc>
        <w:tc>
          <w:tcPr>
            <w:tcW w:w="3191" w:type="dxa"/>
          </w:tcPr>
          <w:p w:rsidR="00F77AA9" w:rsidRPr="00F77AA9" w:rsidRDefault="00F77AA9" w:rsidP="00F77AA9">
            <w:pPr>
              <w:rPr>
                <w:lang w:val="de-DE"/>
              </w:rPr>
            </w:pPr>
            <w:r>
              <w:rPr>
                <w:lang w:val="de-DE"/>
              </w:rPr>
              <w:t>Das Jahr</w:t>
            </w:r>
          </w:p>
        </w:tc>
      </w:tr>
      <w:tr w:rsidR="00F77AA9" w:rsidTr="00F77AA9">
        <w:tc>
          <w:tcPr>
            <w:tcW w:w="3190" w:type="dxa"/>
          </w:tcPr>
          <w:p w:rsidR="00F77AA9" w:rsidRDefault="00F77AA9" w:rsidP="00F77AA9">
            <w:pPr>
              <w:rPr>
                <w:lang w:val="de-DE"/>
              </w:rPr>
            </w:pPr>
          </w:p>
        </w:tc>
        <w:tc>
          <w:tcPr>
            <w:tcW w:w="3190" w:type="dxa"/>
          </w:tcPr>
          <w:p w:rsidR="00F77AA9" w:rsidRDefault="00F77AA9" w:rsidP="00F77AA9">
            <w:pPr>
              <w:rPr>
                <w:lang w:val="de-DE"/>
              </w:rPr>
            </w:pPr>
          </w:p>
        </w:tc>
        <w:tc>
          <w:tcPr>
            <w:tcW w:w="3191" w:type="dxa"/>
          </w:tcPr>
          <w:p w:rsidR="00F77AA9" w:rsidRDefault="00F77AA9" w:rsidP="00F77AA9">
            <w:pPr>
              <w:rPr>
                <w:lang w:val="de-DE"/>
              </w:rPr>
            </w:pPr>
          </w:p>
        </w:tc>
      </w:tr>
    </w:tbl>
    <w:p w:rsidR="005B0E3E" w:rsidRPr="00F77AA9" w:rsidRDefault="005B0E3E" w:rsidP="00F77AA9">
      <w:pPr>
        <w:rPr>
          <w:lang w:val="de-DE"/>
        </w:rPr>
      </w:pPr>
    </w:p>
    <w:sectPr w:rsidR="005B0E3E" w:rsidRPr="00F77AA9" w:rsidSect="008C4CD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2000"/>
    <w:multiLevelType w:val="hybridMultilevel"/>
    <w:tmpl w:val="299ED5CC"/>
    <w:lvl w:ilvl="0" w:tplc="F2C8A5DA">
      <w:start w:val="1"/>
      <w:numFmt w:val="upperLetter"/>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470CC8"/>
    <w:multiLevelType w:val="hybridMultilevel"/>
    <w:tmpl w:val="2AFA1C88"/>
    <w:lvl w:ilvl="0" w:tplc="0944CD64">
      <w:start w:val="1"/>
      <w:numFmt w:val="bullet"/>
      <w:lvlText w:val=""/>
      <w:lvlJc w:val="left"/>
      <w:pPr>
        <w:tabs>
          <w:tab w:val="num" w:pos="5747"/>
        </w:tabs>
        <w:ind w:left="5747" w:hanging="360"/>
      </w:pPr>
      <w:rPr>
        <w:rFonts w:ascii="Wingdings" w:hAnsi="Wingdings" w:hint="default"/>
        <w:color w:val="auto"/>
        <w:sz w:val="28"/>
        <w:szCs w:val="28"/>
      </w:rPr>
    </w:lvl>
    <w:lvl w:ilvl="1" w:tplc="04190003" w:tentative="1">
      <w:start w:val="1"/>
      <w:numFmt w:val="bullet"/>
      <w:lvlText w:val="o"/>
      <w:lvlJc w:val="left"/>
      <w:pPr>
        <w:tabs>
          <w:tab w:val="num" w:pos="5387"/>
        </w:tabs>
        <w:ind w:left="5387" w:hanging="360"/>
      </w:pPr>
      <w:rPr>
        <w:rFonts w:ascii="Courier New" w:hAnsi="Courier New" w:cs="Courier New" w:hint="default"/>
      </w:rPr>
    </w:lvl>
    <w:lvl w:ilvl="2" w:tplc="04190005" w:tentative="1">
      <w:start w:val="1"/>
      <w:numFmt w:val="bullet"/>
      <w:lvlText w:val=""/>
      <w:lvlJc w:val="left"/>
      <w:pPr>
        <w:tabs>
          <w:tab w:val="num" w:pos="6107"/>
        </w:tabs>
        <w:ind w:left="6107" w:hanging="360"/>
      </w:pPr>
      <w:rPr>
        <w:rFonts w:ascii="Wingdings" w:hAnsi="Wingdings" w:hint="default"/>
      </w:rPr>
    </w:lvl>
    <w:lvl w:ilvl="3" w:tplc="04190001" w:tentative="1">
      <w:start w:val="1"/>
      <w:numFmt w:val="bullet"/>
      <w:lvlText w:val=""/>
      <w:lvlJc w:val="left"/>
      <w:pPr>
        <w:tabs>
          <w:tab w:val="num" w:pos="6827"/>
        </w:tabs>
        <w:ind w:left="6827" w:hanging="360"/>
      </w:pPr>
      <w:rPr>
        <w:rFonts w:ascii="Symbol" w:hAnsi="Symbol" w:hint="default"/>
      </w:rPr>
    </w:lvl>
    <w:lvl w:ilvl="4" w:tplc="04190003" w:tentative="1">
      <w:start w:val="1"/>
      <w:numFmt w:val="bullet"/>
      <w:lvlText w:val="o"/>
      <w:lvlJc w:val="left"/>
      <w:pPr>
        <w:tabs>
          <w:tab w:val="num" w:pos="7547"/>
        </w:tabs>
        <w:ind w:left="7547" w:hanging="360"/>
      </w:pPr>
      <w:rPr>
        <w:rFonts w:ascii="Courier New" w:hAnsi="Courier New" w:cs="Courier New" w:hint="default"/>
      </w:rPr>
    </w:lvl>
    <w:lvl w:ilvl="5" w:tplc="04190005" w:tentative="1">
      <w:start w:val="1"/>
      <w:numFmt w:val="bullet"/>
      <w:lvlText w:val=""/>
      <w:lvlJc w:val="left"/>
      <w:pPr>
        <w:tabs>
          <w:tab w:val="num" w:pos="8267"/>
        </w:tabs>
        <w:ind w:left="8267" w:hanging="360"/>
      </w:pPr>
      <w:rPr>
        <w:rFonts w:ascii="Wingdings" w:hAnsi="Wingdings" w:hint="default"/>
      </w:rPr>
    </w:lvl>
    <w:lvl w:ilvl="6" w:tplc="04190001" w:tentative="1">
      <w:start w:val="1"/>
      <w:numFmt w:val="bullet"/>
      <w:lvlText w:val=""/>
      <w:lvlJc w:val="left"/>
      <w:pPr>
        <w:tabs>
          <w:tab w:val="num" w:pos="8987"/>
        </w:tabs>
        <w:ind w:left="8987" w:hanging="360"/>
      </w:pPr>
      <w:rPr>
        <w:rFonts w:ascii="Symbol" w:hAnsi="Symbol" w:hint="default"/>
      </w:rPr>
    </w:lvl>
    <w:lvl w:ilvl="7" w:tplc="04190003" w:tentative="1">
      <w:start w:val="1"/>
      <w:numFmt w:val="bullet"/>
      <w:lvlText w:val="o"/>
      <w:lvlJc w:val="left"/>
      <w:pPr>
        <w:tabs>
          <w:tab w:val="num" w:pos="9707"/>
        </w:tabs>
        <w:ind w:left="9707" w:hanging="360"/>
      </w:pPr>
      <w:rPr>
        <w:rFonts w:ascii="Courier New" w:hAnsi="Courier New" w:cs="Courier New" w:hint="default"/>
      </w:rPr>
    </w:lvl>
    <w:lvl w:ilvl="8" w:tplc="04190005" w:tentative="1">
      <w:start w:val="1"/>
      <w:numFmt w:val="bullet"/>
      <w:lvlText w:val=""/>
      <w:lvlJc w:val="left"/>
      <w:pPr>
        <w:tabs>
          <w:tab w:val="num" w:pos="10427"/>
        </w:tabs>
        <w:ind w:left="104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D3"/>
    <w:rsid w:val="005B0E3E"/>
    <w:rsid w:val="008C4CD3"/>
    <w:rsid w:val="00F7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CD3"/>
    <w:pPr>
      <w:ind w:left="720"/>
      <w:contextualSpacing/>
    </w:pPr>
  </w:style>
  <w:style w:type="table" w:styleId="a4">
    <w:name w:val="Table Grid"/>
    <w:basedOn w:val="a1"/>
    <w:uiPriority w:val="59"/>
    <w:rsid w:val="00F77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CD3"/>
    <w:pPr>
      <w:ind w:left="720"/>
      <w:contextualSpacing/>
    </w:pPr>
  </w:style>
  <w:style w:type="table" w:styleId="a4">
    <w:name w:val="Table Grid"/>
    <w:basedOn w:val="a1"/>
    <w:uiPriority w:val="59"/>
    <w:rsid w:val="00F77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8D8A-FB00-4125-B90F-EBE2D26C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2020-03-19T13:04:00Z</dcterms:created>
  <dcterms:modified xsi:type="dcterms:W3CDTF">2020-03-19T13:12:00Z</dcterms:modified>
</cp:coreProperties>
</file>